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8" w:rsidRDefault="00657338" w:rsidP="00657338">
      <w:r w:rsidRPr="00657338">
        <w:rPr>
          <w:noProof/>
        </w:rPr>
        <w:drawing>
          <wp:inline distT="0" distB="0" distL="0" distR="0">
            <wp:extent cx="5760720" cy="756644"/>
            <wp:effectExtent l="19050" t="0" r="0" b="0"/>
            <wp:docPr id="2" name="Obraz 2" descr="T:\Wzory\paski logotypów 2018\PIFE_poziom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Wzory\paski logotypów 2018\PIFE_poziom z podpis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38" w:rsidRDefault="00657338" w:rsidP="00657338"/>
    <w:p w:rsidR="009E6505" w:rsidRPr="00F41A28" w:rsidRDefault="00657338" w:rsidP="00F41A28">
      <w:pPr>
        <w:jc w:val="center"/>
        <w:outlineLvl w:val="0"/>
        <w:rPr>
          <w:rStyle w:val="Pogrubienie"/>
          <w:rFonts w:asciiTheme="minorHAnsi" w:hAnsiTheme="minorHAnsi"/>
          <w:b w:val="0"/>
          <w:shd w:val="clear" w:color="auto" w:fill="FFFFFF"/>
        </w:rPr>
      </w:pPr>
      <w:r w:rsidRPr="00F41A28">
        <w:rPr>
          <w:rFonts w:asciiTheme="minorHAnsi" w:hAnsiTheme="minorHAnsi" w:cs="Calibri"/>
          <w:b/>
          <w:lang w:eastAsia="en-US"/>
        </w:rPr>
        <w:t>Program Operacyjny Wiedza Edukacja i Rozwój na lata 2014‐2020</w:t>
      </w:r>
      <w:r w:rsidR="001C6C07" w:rsidRPr="00F41A28">
        <w:rPr>
          <w:rFonts w:asciiTheme="minorHAnsi" w:hAnsiTheme="minorHAnsi" w:cs="Calibri"/>
          <w:b/>
          <w:lang w:eastAsia="en-US"/>
        </w:rPr>
        <w:t>,</w:t>
      </w:r>
      <w:r w:rsidR="001C6C07" w:rsidRPr="00F41A28">
        <w:rPr>
          <w:rStyle w:val="Pogrubienie"/>
          <w:rFonts w:asciiTheme="minorHAnsi" w:hAnsiTheme="minorHAnsi"/>
          <w:b w:val="0"/>
          <w:shd w:val="clear" w:color="auto" w:fill="FFFFFF"/>
        </w:rPr>
        <w:t xml:space="preserve"> </w:t>
      </w:r>
      <w:r w:rsidR="00F41A28">
        <w:rPr>
          <w:rStyle w:val="Pogrubienie"/>
          <w:rFonts w:asciiTheme="minorHAnsi" w:hAnsiTheme="minorHAnsi"/>
          <w:b w:val="0"/>
          <w:shd w:val="clear" w:color="auto" w:fill="FFFFFF"/>
        </w:rPr>
        <w:br/>
      </w:r>
      <w:r w:rsidR="001C6C07" w:rsidRPr="00F41A28">
        <w:rPr>
          <w:rStyle w:val="Pogrubienie"/>
          <w:rFonts w:asciiTheme="minorHAnsi" w:hAnsiTheme="minorHAnsi"/>
          <w:b w:val="0"/>
          <w:shd w:val="clear" w:color="auto" w:fill="FFFFFF"/>
        </w:rPr>
        <w:t>Działanie 2.21 „Poprawa zarządzania, rozwój kapitału ludzkiego oraz wsparcie procesów innowacyjnych przedsiębiorstw”.</w:t>
      </w:r>
    </w:p>
    <w:p w:rsidR="00F41A28" w:rsidRDefault="00F41A28" w:rsidP="001C6C07">
      <w:pPr>
        <w:jc w:val="both"/>
        <w:outlineLvl w:val="0"/>
        <w:rPr>
          <w:rStyle w:val="Pogrubienie"/>
          <w:rFonts w:cs="Segoe UI"/>
          <w:color w:val="000000"/>
        </w:rPr>
      </w:pPr>
    </w:p>
    <w:p w:rsidR="00F41A28" w:rsidRPr="00F41A28" w:rsidRDefault="00F41A28" w:rsidP="001C6C07">
      <w:pPr>
        <w:jc w:val="both"/>
        <w:outlineLvl w:val="0"/>
        <w:rPr>
          <w:rStyle w:val="Pogrubienie"/>
          <w:rFonts w:cs="Segoe UI"/>
        </w:rPr>
      </w:pPr>
      <w:r w:rsidRPr="00F41A28">
        <w:rPr>
          <w:rStyle w:val="Pogrubienie"/>
          <w:rFonts w:cs="Segoe UI"/>
        </w:rPr>
        <w:t>TERMIN:</w:t>
      </w:r>
    </w:p>
    <w:p w:rsidR="00F41A28" w:rsidRDefault="00F41A28" w:rsidP="001C6C07">
      <w:pPr>
        <w:jc w:val="both"/>
        <w:outlineLvl w:val="0"/>
        <w:rPr>
          <w:rStyle w:val="Pogrubienie"/>
          <w:rFonts w:cs="Segoe UI"/>
          <w:color w:val="FF0000"/>
        </w:rPr>
      </w:pPr>
      <w:r w:rsidRPr="00F41A28">
        <w:rPr>
          <w:rStyle w:val="Pogrubienie"/>
          <w:rFonts w:cs="Segoe UI"/>
          <w:color w:val="FF0000"/>
        </w:rPr>
        <w:t xml:space="preserve">Do 30 listopada </w:t>
      </w:r>
      <w:r>
        <w:rPr>
          <w:rStyle w:val="Pogrubienie"/>
          <w:rFonts w:cs="Segoe UI"/>
          <w:color w:val="FF0000"/>
        </w:rPr>
        <w:t xml:space="preserve">2020 </w:t>
      </w:r>
      <w:proofErr w:type="spellStart"/>
      <w:r>
        <w:rPr>
          <w:rStyle w:val="Pogrubienie"/>
          <w:rFonts w:cs="Segoe UI"/>
          <w:color w:val="FF0000"/>
        </w:rPr>
        <w:t>r</w:t>
      </w:r>
      <w:proofErr w:type="spellEnd"/>
      <w:r>
        <w:rPr>
          <w:rStyle w:val="Pogrubienie"/>
          <w:rFonts w:cs="Segoe UI"/>
          <w:color w:val="FF0000"/>
        </w:rPr>
        <w:t>.</w:t>
      </w:r>
    </w:p>
    <w:p w:rsidR="00DC1754" w:rsidRDefault="00DC1754" w:rsidP="001C6C07">
      <w:pPr>
        <w:jc w:val="both"/>
        <w:outlineLvl w:val="0"/>
        <w:rPr>
          <w:rStyle w:val="Pogrubienie"/>
          <w:rFonts w:cs="Segoe UI"/>
        </w:rPr>
      </w:pPr>
    </w:p>
    <w:p w:rsidR="00F41A28" w:rsidRPr="00F41A28" w:rsidRDefault="00F41A28" w:rsidP="001C6C07">
      <w:pPr>
        <w:jc w:val="both"/>
        <w:outlineLvl w:val="0"/>
        <w:rPr>
          <w:rStyle w:val="Pogrubienie"/>
          <w:rFonts w:cs="Segoe UI"/>
        </w:rPr>
      </w:pPr>
      <w:r w:rsidRPr="00F41A28">
        <w:rPr>
          <w:rStyle w:val="Pogrubienie"/>
          <w:rFonts w:cs="Segoe UI"/>
        </w:rPr>
        <w:t>KTO:</w:t>
      </w:r>
    </w:p>
    <w:p w:rsidR="00F41A28" w:rsidRDefault="00F41A28" w:rsidP="001C6C07">
      <w:pPr>
        <w:jc w:val="both"/>
        <w:outlineLvl w:val="0"/>
        <w:rPr>
          <w:rStyle w:val="Pogrubienie"/>
          <w:rFonts w:cs="Segoe UI"/>
          <w:b w:val="0"/>
          <w:color w:val="000000"/>
        </w:rPr>
      </w:pPr>
      <w:r w:rsidRPr="00F41A28">
        <w:rPr>
          <w:rStyle w:val="Pogrubienie"/>
          <w:rFonts w:cs="Segoe UI"/>
          <w:color w:val="FF0000"/>
        </w:rPr>
        <w:t xml:space="preserve"> mikro-, małe, średnie i duże przedsiębiorstwa</w:t>
      </w:r>
      <w:r>
        <w:rPr>
          <w:rStyle w:val="Pogrubienie"/>
          <w:rFonts w:cs="Segoe UI"/>
          <w:color w:val="FF0000"/>
          <w:vertAlign w:val="superscript"/>
        </w:rPr>
        <w:t>*</w:t>
      </w:r>
      <w:r w:rsidRPr="00F41A28">
        <w:rPr>
          <w:rStyle w:val="Pogrubienie"/>
          <w:rFonts w:cs="Segoe UI"/>
          <w:b w:val="0"/>
          <w:color w:val="000000"/>
        </w:rPr>
        <w:t xml:space="preserve"> mogą się ubiegać o zwrot części kosztów usług szkoleniowych i doradczych wspomagających prowadzenie firmy w czasie pandemii. Celem projektu PARP „Kompetencje dla sektorów zadanie COVID-19 – oferta dla przedsiębiorców” jest likwidacja negatywnych skutków kryzysu. Dzięki pomocy operatorów, firmy z różnych branż otrzymują merytoryczne wsparcie ułatwiające funkcjonowanie i rozwój. Maksymalna wysokość dofinansowania wynosi do 80 proc. kosztu usługi netto.</w:t>
      </w:r>
    </w:p>
    <w:p w:rsidR="00DC1754" w:rsidRDefault="00DC1754" w:rsidP="001C6C07">
      <w:pPr>
        <w:jc w:val="both"/>
        <w:outlineLvl w:val="0"/>
        <w:rPr>
          <w:rStyle w:val="Pogrubienie"/>
          <w:rFonts w:cs="Segoe UI"/>
          <w:color w:val="000000"/>
        </w:rPr>
      </w:pPr>
    </w:p>
    <w:p w:rsidR="00F41A28" w:rsidRDefault="00F41A28" w:rsidP="001C6C07">
      <w:pPr>
        <w:jc w:val="both"/>
        <w:outlineLvl w:val="0"/>
        <w:rPr>
          <w:rStyle w:val="Pogrubienie"/>
          <w:rFonts w:cs="Segoe UI"/>
          <w:color w:val="FF0000"/>
        </w:rPr>
      </w:pPr>
      <w:r w:rsidRPr="00F41A28">
        <w:rPr>
          <w:rStyle w:val="Pogrubienie"/>
          <w:rFonts w:cs="Segoe UI"/>
          <w:color w:val="000000"/>
        </w:rPr>
        <w:t xml:space="preserve">WKŁAD WŁASNY: </w:t>
      </w:r>
      <w:r w:rsidRPr="00F41A28">
        <w:rPr>
          <w:rStyle w:val="Pogrubienie"/>
          <w:rFonts w:cs="Segoe UI"/>
          <w:color w:val="FF0000"/>
        </w:rPr>
        <w:t>20%</w:t>
      </w:r>
    </w:p>
    <w:p w:rsidR="00DC1754" w:rsidRPr="00F41A28" w:rsidRDefault="00DC1754" w:rsidP="001C6C07">
      <w:pPr>
        <w:jc w:val="both"/>
        <w:outlineLvl w:val="0"/>
        <w:rPr>
          <w:rStyle w:val="Pogrubienie"/>
          <w:rFonts w:cs="Segoe UI"/>
          <w:color w:val="000000"/>
        </w:rPr>
      </w:pPr>
      <w:r>
        <w:rPr>
          <w:rFonts w:cs="Segoe UI"/>
          <w:color w:val="000000"/>
        </w:rPr>
        <w:t>Wsparcie realizowane będzie w systemie refundacyjno-zaliczkowym, co oznacza, że część środków na finansowanie usługi przedsiębiorca otrzyma przed jej opłaceniem.</w:t>
      </w:r>
    </w:p>
    <w:p w:rsidR="001C6C07" w:rsidRPr="001C6C07" w:rsidRDefault="001C6C07" w:rsidP="001C6C07">
      <w:pPr>
        <w:jc w:val="both"/>
        <w:outlineLvl w:val="0"/>
        <w:rPr>
          <w:rFonts w:asciiTheme="minorHAnsi" w:hAnsiTheme="minorHAnsi" w:cs="Calibri"/>
          <w:lang w:eastAsia="en-US"/>
        </w:rPr>
      </w:pPr>
    </w:p>
    <w:p w:rsidR="00F41A28" w:rsidRPr="00F41A28" w:rsidRDefault="00F41A28" w:rsidP="00F41A28">
      <w:pPr>
        <w:pStyle w:val="Nagwek3"/>
        <w:rPr>
          <w:rFonts w:asciiTheme="minorHAnsi" w:hAnsiTheme="minorHAnsi" w:cs="Segoe UI"/>
          <w:color w:val="000000"/>
          <w:sz w:val="22"/>
          <w:szCs w:val="22"/>
        </w:rPr>
      </w:pPr>
      <w:r w:rsidRPr="00F41A28">
        <w:rPr>
          <w:rFonts w:asciiTheme="minorHAnsi" w:hAnsiTheme="minorHAnsi" w:cs="Segoe UI"/>
          <w:color w:val="000000"/>
          <w:sz w:val="22"/>
          <w:szCs w:val="22"/>
        </w:rPr>
        <w:t>Na co może</w:t>
      </w:r>
      <w:r>
        <w:rPr>
          <w:rFonts w:asciiTheme="minorHAnsi" w:hAnsiTheme="minorHAnsi" w:cs="Segoe UI"/>
          <w:color w:val="000000"/>
          <w:sz w:val="22"/>
          <w:szCs w:val="22"/>
        </w:rPr>
        <w:t xml:space="preserve"> przedsiębiorca 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przeznaczyć dofinansowanie?</w:t>
      </w:r>
    </w:p>
    <w:p w:rsidR="00F41A28" w:rsidRPr="00F41A28" w:rsidRDefault="00F41A28" w:rsidP="00F41A28">
      <w:pPr>
        <w:numPr>
          <w:ilvl w:val="0"/>
          <w:numId w:val="29"/>
        </w:numPr>
        <w:spacing w:after="240"/>
        <w:rPr>
          <w:rFonts w:asciiTheme="minorHAnsi" w:hAnsiTheme="minorHAnsi" w:cs="Segoe UI"/>
          <w:color w:val="000000"/>
        </w:rPr>
      </w:pPr>
      <w:r w:rsidRPr="00F41A28">
        <w:rPr>
          <w:rFonts w:asciiTheme="minorHAnsi" w:hAnsiTheme="minorHAnsi" w:cs="Segoe UI"/>
          <w:color w:val="000000"/>
        </w:rPr>
        <w:t>usługi szkoleniowe</w:t>
      </w:r>
    </w:p>
    <w:p w:rsidR="00F41A28" w:rsidRPr="00F41A28" w:rsidRDefault="00F41A28" w:rsidP="00F41A28">
      <w:pPr>
        <w:numPr>
          <w:ilvl w:val="0"/>
          <w:numId w:val="29"/>
        </w:numPr>
        <w:spacing w:after="240"/>
        <w:rPr>
          <w:rFonts w:asciiTheme="minorHAnsi" w:hAnsiTheme="minorHAnsi" w:cs="Segoe UI"/>
          <w:color w:val="000000"/>
        </w:rPr>
      </w:pPr>
      <w:r w:rsidRPr="00F41A28">
        <w:rPr>
          <w:rFonts w:asciiTheme="minorHAnsi" w:hAnsiTheme="minorHAnsi" w:cs="Segoe UI"/>
          <w:color w:val="000000"/>
        </w:rPr>
        <w:t>usługi doradcze</w:t>
      </w:r>
    </w:p>
    <w:p w:rsidR="00F41A28" w:rsidRPr="00F41A28" w:rsidRDefault="00F41A28" w:rsidP="00F41A28">
      <w:pPr>
        <w:pStyle w:val="NormalnyWeb"/>
        <w:rPr>
          <w:rFonts w:asciiTheme="minorHAnsi" w:hAnsiTheme="minorHAnsi" w:cs="Segoe UI"/>
          <w:color w:val="000000"/>
          <w:sz w:val="22"/>
          <w:szCs w:val="22"/>
        </w:rPr>
      </w:pP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Usługi rozwojowe, z których może skorzystać przedsiębiorstwo w ramach zadania COVID-19, to takie, które zawarte zostały w nadzwyczajnych rekomendacjach </w:t>
      </w:r>
      <w:hyperlink r:id="rId8" w:anchor="sektorowe-rady" w:history="1">
        <w:r w:rsidRPr="00F41A28">
          <w:rPr>
            <w:rStyle w:val="Hipercze"/>
            <w:rFonts w:asciiTheme="minorHAnsi" w:hAnsiTheme="minorHAnsi" w:cs="Segoe UI"/>
            <w:sz w:val="22"/>
            <w:szCs w:val="22"/>
          </w:rPr>
          <w:t>Sektorowych Rad ds. Kompetencji</w:t>
        </w:r>
      </w:hyperlink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. Usługi rozwojowe świadczone są co do zasady za pośrednictwem </w:t>
      </w:r>
      <w:hyperlink r:id="rId9" w:history="1">
        <w:r w:rsidRPr="00F41A28">
          <w:rPr>
            <w:rStyle w:val="Hipercze"/>
            <w:rFonts w:asciiTheme="minorHAnsi" w:hAnsiTheme="minorHAnsi" w:cs="Segoe UI"/>
            <w:sz w:val="22"/>
            <w:szCs w:val="22"/>
          </w:rPr>
          <w:t>Bazy Usług Rozwojowych</w:t>
        </w:r>
      </w:hyperlink>
      <w:r w:rsidRPr="00F41A28">
        <w:rPr>
          <w:rFonts w:asciiTheme="minorHAnsi" w:hAnsiTheme="minorHAnsi" w:cs="Segoe UI"/>
          <w:color w:val="000000"/>
          <w:sz w:val="22"/>
          <w:szCs w:val="22"/>
        </w:rPr>
        <w:t>.</w:t>
      </w:r>
    </w:p>
    <w:p w:rsidR="00F41A28" w:rsidRPr="00F41A28" w:rsidRDefault="00F41A28" w:rsidP="00F41A28">
      <w:pPr>
        <w:pStyle w:val="NormalnyWeb"/>
        <w:jc w:val="both"/>
        <w:rPr>
          <w:rFonts w:asciiTheme="minorHAnsi" w:hAnsiTheme="minorHAnsi" w:cs="Segoe UI"/>
          <w:b/>
          <w:color w:val="000000"/>
          <w:sz w:val="22"/>
          <w:szCs w:val="22"/>
          <w:u w:val="single"/>
        </w:rPr>
      </w:pP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Wsparcie kierowane jest do przedsiębiorstw działających wyłącznie w branżach: </w:t>
      </w:r>
      <w:r w:rsidRPr="00F41A28">
        <w:rPr>
          <w:rFonts w:asciiTheme="minorHAnsi" w:hAnsiTheme="minorHAnsi" w:cs="Segoe UI"/>
          <w:b/>
          <w:color w:val="000000"/>
          <w:sz w:val="22"/>
          <w:szCs w:val="22"/>
          <w:u w:val="single"/>
        </w:rPr>
        <w:t>finansowej, IT, motoryzacyjnej, opieki zdrowotnej i pomocy społecznej, odzysku materiałowego surowców, żywności wysokiej jakości, komunikacji marketingowej, telekomunikacji i cyberbezpieczeństwa, gospodarki wodno-ściekowej i rekultywacji , chemicznej , przemysłu lotniczo-kosmicznego, handlu oraz usług rozwojowych i dotyczy tematyki określonej przez Rady Sektorowe ds. Kompetencji.</w:t>
      </w:r>
    </w:p>
    <w:p w:rsidR="00F41A28" w:rsidRPr="00F41A28" w:rsidRDefault="00F41A28" w:rsidP="00F41A28">
      <w:pPr>
        <w:pStyle w:val="NormalnyWeb"/>
        <w:jc w:val="both"/>
        <w:rPr>
          <w:rFonts w:asciiTheme="minorHAnsi" w:hAnsiTheme="minorHAnsi" w:cs="Segoe UI"/>
          <w:color w:val="000000"/>
          <w:sz w:val="22"/>
          <w:szCs w:val="22"/>
        </w:rPr>
      </w:pP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* </w:t>
      </w:r>
      <w:r w:rsidRPr="00F41A28">
        <w:rPr>
          <w:rFonts w:asciiTheme="minorHAnsi" w:hAnsiTheme="minorHAnsi" w:cs="Segoe UI"/>
          <w:b/>
          <w:color w:val="FF0000"/>
          <w:sz w:val="22"/>
          <w:szCs w:val="22"/>
        </w:rPr>
        <w:t>W ramach projektu istnieje możliwość objęcia wsparciem dużych przedsiębiorstw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, jednak dotyczy to wyłącznie sektorów przemysłowych (związany z reindustrializacją) tj. </w:t>
      </w:r>
      <w:r w:rsidRPr="00F41A28">
        <w:rPr>
          <w:rStyle w:val="Pogrubienie"/>
          <w:rFonts w:asciiTheme="minorHAnsi" w:hAnsiTheme="minorHAnsi" w:cs="Segoe UI"/>
          <w:color w:val="000000"/>
          <w:sz w:val="22"/>
          <w:szCs w:val="22"/>
        </w:rPr>
        <w:t>IT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(PKD J.62 -Działalność związana z oprogramowaniem i doradztwem w zakresie informatyki oraz działalność powiązana), </w:t>
      </w:r>
      <w:r w:rsidRPr="00F41A28">
        <w:rPr>
          <w:rStyle w:val="Pogrubienie"/>
          <w:rFonts w:asciiTheme="minorHAnsi" w:hAnsiTheme="minorHAnsi" w:cs="Segoe UI"/>
          <w:color w:val="000000"/>
          <w:sz w:val="22"/>
          <w:szCs w:val="22"/>
        </w:rPr>
        <w:t>motoryzacyjnego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(PKD C.29 -Produkcja pojazdów samochodowych, przyczep i naczep, z wyłączeniem motocykli; Inne rodzaje działalności związane z produkcją, handlem, dystrybucją oraz naprawą pojazdów samochodowych i motocykli; z uwzględnieniem obszaru elektromobilności określonego PKD 27.11, 27.12, 27.20, 27.90 oraz e-busów i samochodów elektrycznych),  </w:t>
      </w:r>
      <w:r w:rsidRPr="00F41A28">
        <w:rPr>
          <w:rStyle w:val="Pogrubienie"/>
          <w:rFonts w:asciiTheme="minorHAnsi" w:hAnsiTheme="minorHAnsi" w:cs="Segoe UI"/>
          <w:color w:val="000000"/>
          <w:sz w:val="22"/>
          <w:szCs w:val="22"/>
        </w:rPr>
        <w:t>odzysku materiałowego surowców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(PKD 38 -Działalność związana ze zbieraniem, przetwarzaniem i unieszkodliwianiem odpadów; odzysk surowców), </w:t>
      </w:r>
      <w:r w:rsidRPr="00F41A28">
        <w:rPr>
          <w:rStyle w:val="Pogrubienie"/>
          <w:rFonts w:asciiTheme="minorHAnsi" w:hAnsiTheme="minorHAnsi" w:cs="Segoe UI"/>
          <w:color w:val="000000"/>
          <w:sz w:val="22"/>
          <w:szCs w:val="22"/>
        </w:rPr>
        <w:t>żywności wysokiej jakości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(PKD 10 -Produkcja artykułów spożywczych, za wyjątkiem PKD 10.9 Produkcja gotowych paszy i karmy dla zwierząt), </w:t>
      </w:r>
      <w:r w:rsidRPr="00F41A28">
        <w:rPr>
          <w:rStyle w:val="Pogrubienie"/>
          <w:rFonts w:asciiTheme="minorHAnsi" w:hAnsiTheme="minorHAnsi" w:cs="Segoe UI"/>
          <w:color w:val="000000"/>
          <w:sz w:val="22"/>
          <w:szCs w:val="22"/>
        </w:rPr>
        <w:t>chemicznego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(PKD 21 -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lastRenderedPageBreak/>
        <w:t xml:space="preserve">Produkcja podstawowych substancji farmaceutycznych oraz leków i pozostałych wyrobów farmaceutycznych) oraz </w:t>
      </w:r>
      <w:r w:rsidRPr="00F41A28">
        <w:rPr>
          <w:rStyle w:val="Pogrubienie"/>
          <w:rFonts w:asciiTheme="minorHAnsi" w:hAnsiTheme="minorHAnsi" w:cs="Segoe UI"/>
          <w:color w:val="000000"/>
          <w:sz w:val="22"/>
          <w:szCs w:val="22"/>
        </w:rPr>
        <w:t>lotniczo-kosmicznego</w:t>
      </w:r>
      <w:r w:rsidRPr="00F41A28">
        <w:rPr>
          <w:rFonts w:asciiTheme="minorHAnsi" w:hAnsiTheme="minorHAnsi" w:cs="Segoe UI"/>
          <w:color w:val="000000"/>
          <w:sz w:val="22"/>
          <w:szCs w:val="22"/>
        </w:rPr>
        <w:t xml:space="preserve"> (PKD 30.3 -Produkcja statków powietrznych, statków kosmicznych i podobnych maszyn).</w:t>
      </w:r>
    </w:p>
    <w:p w:rsidR="00F41A28" w:rsidRPr="00DC1754" w:rsidRDefault="00DC1754" w:rsidP="001C6C07">
      <w:pPr>
        <w:autoSpaceDE w:val="0"/>
        <w:autoSpaceDN w:val="0"/>
        <w:adjustRightInd w:val="0"/>
        <w:jc w:val="both"/>
        <w:outlineLvl w:val="0"/>
        <w:rPr>
          <w:rStyle w:val="Pogrubienie"/>
          <w:rFonts w:asciiTheme="minorHAnsi" w:hAnsiTheme="minorHAnsi"/>
          <w:color w:val="FF0000"/>
          <w:u w:val="single"/>
          <w:shd w:val="clear" w:color="auto" w:fill="FFFFFF"/>
        </w:rPr>
      </w:pPr>
      <w:r w:rsidRPr="00DC1754">
        <w:rPr>
          <w:rStyle w:val="Pogrubienie"/>
          <w:rFonts w:asciiTheme="minorHAnsi" w:hAnsiTheme="minorHAnsi"/>
          <w:color w:val="FF0000"/>
          <w:u w:val="single"/>
          <w:shd w:val="clear" w:color="auto" w:fill="FFFFFF"/>
        </w:rPr>
        <w:t>OPERATORZY:</w:t>
      </w:r>
    </w:p>
    <w:p w:rsidR="00DC1754" w:rsidRDefault="00DC1754" w:rsidP="001C6C07">
      <w:pPr>
        <w:autoSpaceDE w:val="0"/>
        <w:autoSpaceDN w:val="0"/>
        <w:adjustRightInd w:val="0"/>
        <w:jc w:val="both"/>
        <w:outlineLvl w:val="0"/>
        <w:rPr>
          <w:rStyle w:val="Pogrubienie"/>
          <w:rFonts w:asciiTheme="minorHAnsi" w:hAnsiTheme="minorHAnsi"/>
          <w:u w:val="single"/>
          <w:shd w:val="clear" w:color="auto" w:fill="FFFFFF"/>
        </w:rPr>
      </w:pPr>
    </w:p>
    <w:p w:rsidR="00DC1754" w:rsidRPr="00DC1754" w:rsidRDefault="00DC1754" w:rsidP="00DC1754">
      <w:pPr>
        <w:numPr>
          <w:ilvl w:val="0"/>
          <w:numId w:val="31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chemiczny, usług rozwojowych oraz motoryzacji:</w:t>
      </w:r>
    </w:p>
    <w:p w:rsidR="00DC1754" w:rsidRPr="00DC1754" w:rsidRDefault="00DC1754" w:rsidP="00DC1754">
      <w:pPr>
        <w:pStyle w:val="NormalnyWeb"/>
        <w:rPr>
          <w:rFonts w:asciiTheme="minorHAnsi" w:hAnsiTheme="minorHAnsi" w:cs="Segoe UI"/>
          <w:color w:val="000000"/>
          <w:sz w:val="22"/>
          <w:szCs w:val="22"/>
          <w:lang w:val="en-US"/>
        </w:rPr>
      </w:pPr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HRP Group Sp. z o.o.: </w:t>
      </w:r>
      <w:proofErr w:type="spellStart"/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>Infolinia</w:t>
      </w:r>
      <w:proofErr w:type="spellEnd"/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: +48 42 208 06 </w:t>
      </w:r>
      <w:proofErr w:type="spellStart"/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>06</w:t>
      </w:r>
      <w:proofErr w:type="spellEnd"/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, mail: </w:t>
      </w:r>
      <w:hyperlink r:id="rId10" w:history="1">
        <w:r w:rsidRPr="00DC1754">
          <w:rPr>
            <w:rStyle w:val="Hipercze"/>
            <w:rFonts w:asciiTheme="minorHAnsi" w:hAnsiTheme="minorHAnsi" w:cs="Segoe UI"/>
            <w:sz w:val="22"/>
            <w:szCs w:val="22"/>
            <w:lang w:val="en-US"/>
          </w:rPr>
          <w:t>antycovid-przepisnarozwoj@hrp.com.pl</w:t>
        </w:r>
      </w:hyperlink>
    </w:p>
    <w:p w:rsidR="00DC1754" w:rsidRPr="00DC1754" w:rsidRDefault="00DC1754" w:rsidP="00DC1754">
      <w:pPr>
        <w:numPr>
          <w:ilvl w:val="0"/>
          <w:numId w:val="32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Finansowy:</w:t>
      </w:r>
      <w:r w:rsidRPr="00DC1754">
        <w:rPr>
          <w:rFonts w:asciiTheme="minorHAnsi" w:hAnsiTheme="minorHAnsi" w:cs="Segoe UI"/>
          <w:color w:val="000000"/>
        </w:rPr>
        <w:t xml:space="preserve"> </w:t>
      </w:r>
    </w:p>
    <w:p w:rsidR="00DC1754" w:rsidRPr="00DC1754" w:rsidRDefault="00DC1754" w:rsidP="00DC1754">
      <w:pPr>
        <w:pStyle w:val="NormalnyWeb"/>
        <w:ind w:left="72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Stowarzyszenie Ostrowskie Centrum Wspierania Przedsiębiorczość:</w:t>
      </w:r>
    </w:p>
    <w:p w:rsidR="00DC1754" w:rsidRPr="00DC1754" w:rsidRDefault="00DC1754" w:rsidP="00DC1754">
      <w:pPr>
        <w:pStyle w:val="NormalnyWeb"/>
        <w:numPr>
          <w:ilvl w:val="1"/>
          <w:numId w:val="32"/>
        </w:numPr>
        <w:spacing w:before="0" w:beforeAutospacing="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uczestnicy z województw: dolnośląskie, kujawsko-pomorskie, lubuskie, łódzkie, opolskie, pomorskie, warmińsko-mazurskie, wielkopolskie i zachodnio-pomorskie zgłaszają się do Lidera projektu, tel. 62 736 11 60, wew. 27; 576-060-690, mail: </w:t>
      </w:r>
      <w:hyperlink r:id="rId11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agnieszka_poprawa@ocwp.org.pl</w:t>
        </w:r>
      </w:hyperlink>
    </w:p>
    <w:p w:rsidR="00DC1754" w:rsidRPr="00DC1754" w:rsidRDefault="00DC1754" w:rsidP="00DC1754">
      <w:pPr>
        <w:pStyle w:val="NormalnyWeb"/>
        <w:numPr>
          <w:ilvl w:val="1"/>
          <w:numId w:val="32"/>
        </w:numPr>
        <w:spacing w:before="0" w:beforeAutospacing="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uczestnicy z województw: lubelskie, małopolskie, mazowieckie, podkarpackie, podlaskie, śląskie i świętokrzyskie zgłaszają się do Partnera projektu, ul. 3 Maja 22, 40-096 Katowice, tel. 32 203 74 54; 730-507-073, mail: </w:t>
      </w:r>
      <w:hyperlink r:id="rId12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agnieszka.mitka@smgkrc.com</w:t>
        </w:r>
      </w:hyperlink>
    </w:p>
    <w:p w:rsidR="00DC1754" w:rsidRPr="00DC1754" w:rsidRDefault="00DC1754" w:rsidP="00DC1754">
      <w:pPr>
        <w:numPr>
          <w:ilvl w:val="0"/>
          <w:numId w:val="33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IT:</w:t>
      </w:r>
    </w:p>
    <w:p w:rsidR="00DC1754" w:rsidRPr="00DC1754" w:rsidRDefault="00DC1754" w:rsidP="00DC1754">
      <w:pPr>
        <w:pStyle w:val="NormalnyWeb"/>
        <w:rPr>
          <w:rFonts w:asciiTheme="minorHAnsi" w:hAnsiTheme="minorHAnsi" w:cs="Segoe UI"/>
          <w:color w:val="000000"/>
          <w:sz w:val="22"/>
          <w:szCs w:val="22"/>
          <w:lang w:val="en-US"/>
        </w:rPr>
      </w:pPr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>CTS Customized Training Solutions Sp. z o.o.: tel. 22 208 23 73, 22 208 28 58, 503 455 204, </w:t>
      </w:r>
      <w:hyperlink r:id="rId13" w:history="1">
        <w:r w:rsidRPr="00DC1754">
          <w:rPr>
            <w:rStyle w:val="Hipercze"/>
            <w:rFonts w:asciiTheme="minorHAnsi" w:hAnsiTheme="minorHAnsi" w:cs="Segoe UI"/>
            <w:sz w:val="22"/>
            <w:szCs w:val="22"/>
            <w:lang w:val="en-US"/>
          </w:rPr>
          <w:t>itakademia2@cts.com.pl</w:t>
        </w:r>
      </w:hyperlink>
    </w:p>
    <w:p w:rsidR="00DC1754" w:rsidRPr="00DC1754" w:rsidRDefault="00DC1754" w:rsidP="00DC1754">
      <w:pPr>
        <w:numPr>
          <w:ilvl w:val="0"/>
          <w:numId w:val="34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lotniczo-kosmiczny oraz telekomunikacji i cyberbezpieczeństwa:</w:t>
      </w:r>
    </w:p>
    <w:p w:rsidR="00DC1754" w:rsidRPr="00DC1754" w:rsidRDefault="00DC1754" w:rsidP="00DC1754">
      <w:pPr>
        <w:pStyle w:val="NormalnyWeb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Małopolska Agencja Rozwoju Regionalnego S.A., mail: </w:t>
      </w:r>
      <w:hyperlink r:id="rId14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sektor.tic@marr.pl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proofErr w:type="spellStart"/>
      <w:r w:rsidRPr="00DC1754">
        <w:rPr>
          <w:rFonts w:asciiTheme="minorHAnsi" w:hAnsiTheme="minorHAnsi" w:cs="Segoe UI"/>
          <w:color w:val="000000"/>
          <w:sz w:val="22"/>
          <w:szCs w:val="22"/>
        </w:rPr>
        <w:t>tel</w:t>
      </w:r>
      <w:proofErr w:type="spellEnd"/>
      <w:r w:rsidRPr="00DC1754">
        <w:rPr>
          <w:rFonts w:asciiTheme="minorHAnsi" w:hAnsiTheme="minorHAnsi" w:cs="Segoe UI"/>
          <w:color w:val="000000"/>
          <w:sz w:val="22"/>
          <w:szCs w:val="22"/>
        </w:rPr>
        <w:t xml:space="preserve">: 785 118 868 (dla sektora telekomunikacji i </w:t>
      </w:r>
      <w:proofErr w:type="spellStart"/>
      <w:r w:rsidRPr="00DC1754">
        <w:rPr>
          <w:rFonts w:asciiTheme="minorHAnsi" w:hAnsiTheme="minorHAnsi" w:cs="Segoe UI"/>
          <w:color w:val="000000"/>
          <w:sz w:val="22"/>
          <w:szCs w:val="22"/>
        </w:rPr>
        <w:t>cyberbezpieczeństwo</w:t>
      </w:r>
      <w:proofErr w:type="spellEnd"/>
      <w:r w:rsidRPr="00DC1754">
        <w:rPr>
          <w:rFonts w:asciiTheme="minorHAnsi" w:hAnsiTheme="minorHAnsi" w:cs="Segoe UI"/>
          <w:color w:val="000000"/>
          <w:sz w:val="22"/>
          <w:szCs w:val="22"/>
        </w:rPr>
        <w:t>) oraz </w:t>
      </w:r>
      <w:hyperlink r:id="rId15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sektor.plk@marr.pl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proofErr w:type="spellStart"/>
      <w:r w:rsidRPr="00DC1754">
        <w:rPr>
          <w:rFonts w:asciiTheme="minorHAnsi" w:hAnsiTheme="minorHAnsi" w:cs="Segoe UI"/>
          <w:color w:val="000000"/>
          <w:sz w:val="22"/>
          <w:szCs w:val="22"/>
        </w:rPr>
        <w:t>tel</w:t>
      </w:r>
      <w:proofErr w:type="spellEnd"/>
      <w:r w:rsidRPr="00DC1754">
        <w:rPr>
          <w:rFonts w:asciiTheme="minorHAnsi" w:hAnsiTheme="minorHAnsi" w:cs="Segoe UI"/>
          <w:color w:val="000000"/>
          <w:sz w:val="22"/>
          <w:szCs w:val="22"/>
        </w:rPr>
        <w:t>: 785 059 105 (dla sektora lotniczo-kosmicznego)</w:t>
      </w:r>
    </w:p>
    <w:p w:rsidR="00DC1754" w:rsidRPr="00DC1754" w:rsidRDefault="00DC1754" w:rsidP="00DC1754">
      <w:pPr>
        <w:numPr>
          <w:ilvl w:val="0"/>
          <w:numId w:val="35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żywności wysokiej jakości:</w:t>
      </w:r>
    </w:p>
    <w:p w:rsidR="00DC1754" w:rsidRPr="00DC1754" w:rsidRDefault="00DC1754" w:rsidP="00DC1754">
      <w:pPr>
        <w:pStyle w:val="NormalnyWeb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 xml:space="preserve">MDDP spółka akcyjna Akademia Biznesu Sp. k., tel.  22 208 23 73, 503 455 204, 789 446 760; mail: </w:t>
      </w:r>
      <w:hyperlink r:id="rId16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zywnosc@akademiamddp.pl</w:t>
        </w:r>
      </w:hyperlink>
    </w:p>
    <w:p w:rsidR="00DC1754" w:rsidRPr="00DC1754" w:rsidRDefault="00DC1754" w:rsidP="00DC1754">
      <w:pPr>
        <w:numPr>
          <w:ilvl w:val="0"/>
          <w:numId w:val="36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opieki zdrowotnej i pomocy społecznej, odzysku materiałowego surowców,  gospodarki wodno-ściekowej i rekultywacji oraz handlu:</w:t>
      </w:r>
      <w:r w:rsidRPr="00DC1754">
        <w:rPr>
          <w:rFonts w:asciiTheme="minorHAnsi" w:hAnsiTheme="minorHAnsi" w:cs="Segoe UI"/>
          <w:color w:val="000000"/>
        </w:rPr>
        <w:t xml:space="preserve"> </w:t>
      </w:r>
    </w:p>
    <w:p w:rsidR="00DC1754" w:rsidRPr="00DC1754" w:rsidRDefault="00DC1754" w:rsidP="00DC1754">
      <w:pPr>
        <w:pStyle w:val="NormalnyWeb"/>
        <w:ind w:left="72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Krajowa Izba Gospodarcza:</w:t>
      </w:r>
    </w:p>
    <w:p w:rsidR="00DC1754" w:rsidRPr="00DC1754" w:rsidRDefault="00DC1754" w:rsidP="00DC1754">
      <w:pPr>
        <w:pStyle w:val="NormalnyWeb"/>
        <w:numPr>
          <w:ilvl w:val="1"/>
          <w:numId w:val="36"/>
        </w:numPr>
        <w:spacing w:before="0" w:beforeAutospacing="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tel. 22 208 28 57; 503 455 332, 22 630 96 87, 630 98 88, email: </w:t>
      </w:r>
      <w:hyperlink r:id="rId17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zdrowie_am2@kig.pl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, </w:t>
      </w:r>
      <w:hyperlink r:id="rId18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zdrowie@cts.com.pl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 (dla sektora opieki zdrowotnej i pomocy społecznej),</w:t>
      </w:r>
    </w:p>
    <w:p w:rsidR="00DC1754" w:rsidRPr="00DC1754" w:rsidRDefault="00DC1754" w:rsidP="00DC1754">
      <w:pPr>
        <w:pStyle w:val="NormalnyWeb"/>
        <w:numPr>
          <w:ilvl w:val="1"/>
          <w:numId w:val="36"/>
        </w:numPr>
        <w:spacing w:before="0" w:beforeAutospacing="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tel.  22 162 79 80, 503 455 332,  22  630 98 88 mail: </w:t>
      </w:r>
      <w:hyperlink r:id="rId19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odzysk@cts.com.pl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, </w:t>
      </w:r>
      <w:hyperlink r:id="rId20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odzysk_am2@kig.pl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 (dla sektora odzysku materiałowego surowców),</w:t>
      </w:r>
    </w:p>
    <w:p w:rsidR="00DC1754" w:rsidRPr="00DC1754" w:rsidRDefault="00DC1754" w:rsidP="00DC1754">
      <w:pPr>
        <w:pStyle w:val="NormalnyWeb"/>
        <w:numPr>
          <w:ilvl w:val="1"/>
          <w:numId w:val="36"/>
        </w:numPr>
        <w:spacing w:before="0" w:beforeAutospacing="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lastRenderedPageBreak/>
        <w:t>tel. 22 162 79 80, 22 208 28 40,503 455 332,  22  630 96 87, mail: </w:t>
      </w:r>
      <w:hyperlink r:id="rId21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wod-kan@cts.com.pl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, </w:t>
      </w:r>
      <w:hyperlink r:id="rId22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wod-kan_am2@kig.pl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 (dla sektora gospodarki wodno-ściekowej i rekultywacji)</w:t>
      </w:r>
    </w:p>
    <w:p w:rsidR="00DC1754" w:rsidRPr="00DC1754" w:rsidRDefault="00DC1754" w:rsidP="00DC1754">
      <w:pPr>
        <w:pStyle w:val="NormalnyWeb"/>
        <w:numPr>
          <w:ilvl w:val="1"/>
          <w:numId w:val="36"/>
        </w:numPr>
        <w:spacing w:before="0" w:beforeAutospacing="0"/>
        <w:rPr>
          <w:rFonts w:asciiTheme="minorHAnsi" w:hAnsiTheme="minorHAnsi" w:cs="Segoe UI"/>
          <w:color w:val="000000"/>
          <w:sz w:val="22"/>
          <w:szCs w:val="22"/>
        </w:rPr>
      </w:pPr>
      <w:r w:rsidRPr="00DC1754">
        <w:rPr>
          <w:rFonts w:asciiTheme="minorHAnsi" w:hAnsiTheme="minorHAnsi" w:cs="Segoe UI"/>
          <w:color w:val="000000"/>
          <w:sz w:val="22"/>
          <w:szCs w:val="22"/>
        </w:rPr>
        <w:t>tel. 22 208 28 57,22 208 28 40, 503 455 332,  22  630 98 66 mail </w:t>
      </w:r>
      <w:hyperlink r:id="rId23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handel@cts.com.pl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, </w:t>
      </w:r>
      <w:hyperlink r:id="rId24" w:history="1">
        <w:r w:rsidRPr="00DC1754">
          <w:rPr>
            <w:rStyle w:val="Hipercze"/>
            <w:rFonts w:asciiTheme="minorHAnsi" w:hAnsiTheme="minorHAnsi" w:cs="Segoe UI"/>
            <w:sz w:val="22"/>
            <w:szCs w:val="22"/>
          </w:rPr>
          <w:t>handel_am2@kig.pl</w:t>
        </w:r>
      </w:hyperlink>
      <w:r w:rsidRPr="00DC1754">
        <w:rPr>
          <w:rFonts w:asciiTheme="minorHAnsi" w:hAnsiTheme="minorHAnsi" w:cs="Segoe UI"/>
          <w:color w:val="000000"/>
          <w:sz w:val="22"/>
          <w:szCs w:val="22"/>
        </w:rPr>
        <w:t> (dla sektora handlu)</w:t>
      </w:r>
    </w:p>
    <w:p w:rsidR="00DC1754" w:rsidRPr="00DC1754" w:rsidRDefault="00DC1754" w:rsidP="00DC1754">
      <w:pPr>
        <w:numPr>
          <w:ilvl w:val="0"/>
          <w:numId w:val="37"/>
        </w:numPr>
        <w:spacing w:after="240"/>
        <w:rPr>
          <w:rFonts w:asciiTheme="minorHAnsi" w:hAnsiTheme="minorHAnsi" w:cs="Segoe UI"/>
          <w:color w:val="000000"/>
        </w:rPr>
      </w:pPr>
      <w:r w:rsidRPr="00DC1754">
        <w:rPr>
          <w:rStyle w:val="Pogrubienie"/>
          <w:rFonts w:asciiTheme="minorHAnsi" w:hAnsiTheme="minorHAnsi" w:cs="Segoe UI"/>
          <w:color w:val="000000"/>
        </w:rPr>
        <w:t>Sektor komunikacji marketingowej:</w:t>
      </w:r>
    </w:p>
    <w:p w:rsidR="00DC1754" w:rsidRPr="00DC1754" w:rsidRDefault="00DC1754" w:rsidP="00DC1754">
      <w:pPr>
        <w:pStyle w:val="NormalnyWeb"/>
        <w:rPr>
          <w:rFonts w:asciiTheme="minorHAnsi" w:hAnsiTheme="minorHAnsi" w:cs="Segoe UI"/>
          <w:color w:val="000000"/>
          <w:sz w:val="22"/>
          <w:szCs w:val="22"/>
          <w:lang w:val="en-US"/>
        </w:rPr>
      </w:pPr>
      <w:r w:rsidRPr="00DC1754">
        <w:rPr>
          <w:rFonts w:asciiTheme="minorHAnsi" w:hAnsiTheme="minorHAnsi" w:cs="Segoe UI"/>
          <w:color w:val="000000"/>
          <w:sz w:val="22"/>
          <w:szCs w:val="22"/>
          <w:lang w:val="en-US"/>
        </w:rPr>
        <w:t xml:space="preserve">KDK Info sp. z o.o.: tel. 22 208 23 73, 503 455 204, 789 446 760; mail: </w:t>
      </w:r>
      <w:hyperlink r:id="rId25" w:history="1">
        <w:r w:rsidRPr="00DC1754">
          <w:rPr>
            <w:rStyle w:val="Hipercze"/>
            <w:rFonts w:asciiTheme="minorHAnsi" w:hAnsiTheme="minorHAnsi" w:cs="Segoe UI"/>
            <w:sz w:val="22"/>
            <w:szCs w:val="22"/>
            <w:lang w:val="en-US"/>
          </w:rPr>
          <w:t>komunikacjamarketingowa@kdkinfo.pl</w:t>
        </w:r>
      </w:hyperlink>
    </w:p>
    <w:p w:rsidR="00DC1754" w:rsidRPr="00DC1754" w:rsidRDefault="00DC1754" w:rsidP="00DC1754">
      <w:pPr>
        <w:autoSpaceDE w:val="0"/>
        <w:autoSpaceDN w:val="0"/>
        <w:adjustRightInd w:val="0"/>
        <w:outlineLvl w:val="0"/>
        <w:rPr>
          <w:rStyle w:val="Pogrubienie"/>
          <w:rFonts w:asciiTheme="minorHAnsi" w:hAnsiTheme="minorHAnsi"/>
          <w:u w:val="single"/>
          <w:shd w:val="clear" w:color="auto" w:fill="FFFFFF"/>
          <w:lang w:val="en-US"/>
        </w:rPr>
      </w:pPr>
    </w:p>
    <w:p w:rsidR="00F41A28" w:rsidRPr="00DC1754" w:rsidRDefault="00F41A28" w:rsidP="00DC1754">
      <w:pPr>
        <w:autoSpaceDE w:val="0"/>
        <w:autoSpaceDN w:val="0"/>
        <w:adjustRightInd w:val="0"/>
        <w:outlineLvl w:val="0"/>
        <w:rPr>
          <w:rStyle w:val="Pogrubienie"/>
          <w:rFonts w:asciiTheme="minorHAnsi" w:hAnsiTheme="minorHAnsi"/>
          <w:u w:val="single"/>
          <w:shd w:val="clear" w:color="auto" w:fill="FFFFFF"/>
          <w:lang w:val="en-US"/>
        </w:rPr>
      </w:pPr>
    </w:p>
    <w:p w:rsidR="00F41A28" w:rsidRPr="00DC1754" w:rsidRDefault="00F41A28" w:rsidP="00DC1754">
      <w:pPr>
        <w:autoSpaceDE w:val="0"/>
        <w:autoSpaceDN w:val="0"/>
        <w:adjustRightInd w:val="0"/>
        <w:outlineLvl w:val="0"/>
        <w:rPr>
          <w:rStyle w:val="Pogrubienie"/>
          <w:rFonts w:asciiTheme="minorHAnsi" w:hAnsiTheme="minorHAnsi"/>
          <w:u w:val="single"/>
          <w:shd w:val="clear" w:color="auto" w:fill="FFFFFF"/>
          <w:lang w:val="en-US"/>
        </w:rPr>
      </w:pPr>
    </w:p>
    <w:p w:rsidR="001C6C07" w:rsidRPr="00DC1754" w:rsidRDefault="001C6C07" w:rsidP="00DC1754">
      <w:pPr>
        <w:autoSpaceDE w:val="0"/>
        <w:autoSpaceDN w:val="0"/>
        <w:adjustRightInd w:val="0"/>
        <w:outlineLvl w:val="0"/>
        <w:rPr>
          <w:rFonts w:asciiTheme="minorHAnsi" w:hAnsiTheme="minorHAnsi"/>
          <w:b/>
          <w:color w:val="1F497D"/>
          <w:lang w:val="en-US"/>
        </w:rPr>
      </w:pPr>
    </w:p>
    <w:sectPr w:rsidR="001C6C07" w:rsidRPr="00DC1754" w:rsidSect="00343E07">
      <w:footerReference w:type="default" r:id="rId26"/>
      <w:pgSz w:w="11906" w:h="16838"/>
      <w:pgMar w:top="1417" w:right="1417" w:bottom="1417" w:left="1417" w:header="708" w:footer="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07" w:rsidRDefault="001C6C07" w:rsidP="00343E07">
      <w:r>
        <w:separator/>
      </w:r>
    </w:p>
  </w:endnote>
  <w:endnote w:type="continuationSeparator" w:id="1">
    <w:p w:rsidR="001C6C07" w:rsidRDefault="001C6C07" w:rsidP="0034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07" w:rsidRDefault="001C6C07" w:rsidP="00343E07">
    <w:pPr>
      <w:pStyle w:val="NormalnyWeb"/>
      <w:autoSpaceDE w:val="0"/>
      <w:autoSpaceDN w:val="0"/>
      <w:adjustRightInd w:val="0"/>
      <w:jc w:val="both"/>
    </w:pPr>
    <w:r w:rsidRPr="0011017B">
      <w:rPr>
        <w:rFonts w:asciiTheme="minorHAnsi" w:eastAsiaTheme="minorHAnsi" w:hAnsiTheme="minorHAnsi" w:cs="Calibri-Bold"/>
        <w:bCs/>
        <w:sz w:val="18"/>
        <w:szCs w:val="18"/>
        <w:lang w:eastAsia="en-US"/>
      </w:rPr>
      <w:t>Informacje podane przez Punkt Informacyjny Funduszy Europejskich nie stanowią oficjalnego stanowiska Instytucji Zarządzających poszczególnymi Programami Operacyjnymi i nie mogą stanowić podstawy do formułowania jakichkolwiek roszczeń, a także nie stanowią oferty w rozumieniu prawa polskiego. Punkt Informacyjny ani jego pracownicy nie odpowiadają za błędną interpretację udzielonych informacji, ani za następstwa czynności podjętych na ich podstawie.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07" w:rsidRDefault="001C6C07" w:rsidP="00343E07">
      <w:r>
        <w:separator/>
      </w:r>
    </w:p>
  </w:footnote>
  <w:footnote w:type="continuationSeparator" w:id="1">
    <w:p w:rsidR="001C6C07" w:rsidRDefault="001C6C07" w:rsidP="0034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80E"/>
    <w:multiLevelType w:val="multilevel"/>
    <w:tmpl w:val="09C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0C3"/>
    <w:multiLevelType w:val="multilevel"/>
    <w:tmpl w:val="B8DC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5320"/>
    <w:multiLevelType w:val="hybridMultilevel"/>
    <w:tmpl w:val="542A4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52F4"/>
    <w:multiLevelType w:val="hybridMultilevel"/>
    <w:tmpl w:val="23AE2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4BE3"/>
    <w:multiLevelType w:val="hybridMultilevel"/>
    <w:tmpl w:val="192C2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01300"/>
    <w:multiLevelType w:val="hybridMultilevel"/>
    <w:tmpl w:val="DE54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06FF0"/>
    <w:multiLevelType w:val="hybridMultilevel"/>
    <w:tmpl w:val="2B3E3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7619D"/>
    <w:multiLevelType w:val="multilevel"/>
    <w:tmpl w:val="0B54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921A6"/>
    <w:multiLevelType w:val="multilevel"/>
    <w:tmpl w:val="4AA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C4E27"/>
    <w:multiLevelType w:val="hybridMultilevel"/>
    <w:tmpl w:val="C9B85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2C41"/>
    <w:multiLevelType w:val="multilevel"/>
    <w:tmpl w:val="DD9E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33915"/>
    <w:multiLevelType w:val="hybridMultilevel"/>
    <w:tmpl w:val="1C22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3DB0"/>
    <w:multiLevelType w:val="multilevel"/>
    <w:tmpl w:val="B09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07F45"/>
    <w:multiLevelType w:val="multilevel"/>
    <w:tmpl w:val="C1D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71CB3"/>
    <w:multiLevelType w:val="hybridMultilevel"/>
    <w:tmpl w:val="7D9EA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BAE"/>
    <w:multiLevelType w:val="multilevel"/>
    <w:tmpl w:val="79A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47298"/>
    <w:multiLevelType w:val="hybridMultilevel"/>
    <w:tmpl w:val="E9867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D457E"/>
    <w:multiLevelType w:val="multilevel"/>
    <w:tmpl w:val="486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83009"/>
    <w:multiLevelType w:val="multilevel"/>
    <w:tmpl w:val="1668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8283A"/>
    <w:multiLevelType w:val="multilevel"/>
    <w:tmpl w:val="FF6A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2F6CA6"/>
    <w:multiLevelType w:val="hybridMultilevel"/>
    <w:tmpl w:val="CF28E3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43797"/>
    <w:multiLevelType w:val="multilevel"/>
    <w:tmpl w:val="B55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54AA7"/>
    <w:multiLevelType w:val="hybridMultilevel"/>
    <w:tmpl w:val="3B48C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F2144"/>
    <w:multiLevelType w:val="hybridMultilevel"/>
    <w:tmpl w:val="B04C0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76E43"/>
    <w:multiLevelType w:val="multilevel"/>
    <w:tmpl w:val="BC2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E6BBD"/>
    <w:multiLevelType w:val="hybridMultilevel"/>
    <w:tmpl w:val="F1864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63F81"/>
    <w:multiLevelType w:val="multilevel"/>
    <w:tmpl w:val="EF5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66794D"/>
    <w:multiLevelType w:val="hybridMultilevel"/>
    <w:tmpl w:val="C3C638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4288C"/>
    <w:multiLevelType w:val="hybridMultilevel"/>
    <w:tmpl w:val="5EF67A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0432"/>
    <w:multiLevelType w:val="multilevel"/>
    <w:tmpl w:val="51A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E58E8"/>
    <w:multiLevelType w:val="multilevel"/>
    <w:tmpl w:val="F558BF0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C61F3E"/>
    <w:multiLevelType w:val="hybridMultilevel"/>
    <w:tmpl w:val="85B01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D2BEC"/>
    <w:multiLevelType w:val="multilevel"/>
    <w:tmpl w:val="5DCE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DA0AED"/>
    <w:multiLevelType w:val="hybridMultilevel"/>
    <w:tmpl w:val="8F3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B3118"/>
    <w:multiLevelType w:val="hybridMultilevel"/>
    <w:tmpl w:val="2C66B30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7CF93B93"/>
    <w:multiLevelType w:val="multilevel"/>
    <w:tmpl w:val="643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"/>
  </w:num>
  <w:num w:numId="5">
    <w:abstractNumId w:val="27"/>
  </w:num>
  <w:num w:numId="6">
    <w:abstractNumId w:val="30"/>
  </w:num>
  <w:num w:numId="7">
    <w:abstractNumId w:val="25"/>
  </w:num>
  <w:num w:numId="8">
    <w:abstractNumId w:val="34"/>
  </w:num>
  <w:num w:numId="9">
    <w:abstractNumId w:val="32"/>
  </w:num>
  <w:num w:numId="10">
    <w:abstractNumId w:val="2"/>
  </w:num>
  <w:num w:numId="11">
    <w:abstractNumId w:val="6"/>
  </w:num>
  <w:num w:numId="12">
    <w:abstractNumId w:val="4"/>
  </w:num>
  <w:num w:numId="13">
    <w:abstractNumId w:val="23"/>
  </w:num>
  <w:num w:numId="14">
    <w:abstractNumId w:val="31"/>
  </w:num>
  <w:num w:numId="15">
    <w:abstractNumId w:val="11"/>
  </w:num>
  <w:num w:numId="16">
    <w:abstractNumId w:val="14"/>
  </w:num>
  <w:num w:numId="17">
    <w:abstractNumId w:val="20"/>
  </w:num>
  <w:num w:numId="18">
    <w:abstractNumId w:val="16"/>
  </w:num>
  <w:num w:numId="19">
    <w:abstractNumId w:val="9"/>
  </w:num>
  <w:num w:numId="20">
    <w:abstractNumId w:val="22"/>
  </w:num>
  <w:num w:numId="21">
    <w:abstractNumId w:val="35"/>
  </w:num>
  <w:num w:numId="22">
    <w:abstractNumId w:val="28"/>
  </w:num>
  <w:num w:numId="23">
    <w:abstractNumId w:val="7"/>
  </w:num>
  <w:num w:numId="24">
    <w:abstractNumId w:val="26"/>
  </w:num>
  <w:num w:numId="25">
    <w:abstractNumId w:val="17"/>
  </w:num>
  <w:num w:numId="26">
    <w:abstractNumId w:val="21"/>
  </w:num>
  <w:num w:numId="27">
    <w:abstractNumId w:val="24"/>
  </w:num>
  <w:num w:numId="28">
    <w:abstractNumId w:val="33"/>
  </w:num>
  <w:num w:numId="29">
    <w:abstractNumId w:val="12"/>
  </w:num>
  <w:num w:numId="30">
    <w:abstractNumId w:val="19"/>
  </w:num>
  <w:num w:numId="31">
    <w:abstractNumId w:val="10"/>
  </w:num>
  <w:num w:numId="32">
    <w:abstractNumId w:val="13"/>
  </w:num>
  <w:num w:numId="33">
    <w:abstractNumId w:val="8"/>
  </w:num>
  <w:num w:numId="34">
    <w:abstractNumId w:val="15"/>
  </w:num>
  <w:num w:numId="35">
    <w:abstractNumId w:val="1"/>
  </w:num>
  <w:num w:numId="36">
    <w:abstractNumId w:val="1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338"/>
    <w:rsid w:val="00020D19"/>
    <w:rsid w:val="000373DE"/>
    <w:rsid w:val="00040E0B"/>
    <w:rsid w:val="000551F4"/>
    <w:rsid w:val="00103B52"/>
    <w:rsid w:val="001053C5"/>
    <w:rsid w:val="0011017B"/>
    <w:rsid w:val="0013609D"/>
    <w:rsid w:val="0014358E"/>
    <w:rsid w:val="001A33AF"/>
    <w:rsid w:val="001C6C07"/>
    <w:rsid w:val="00267EF2"/>
    <w:rsid w:val="002B0BB1"/>
    <w:rsid w:val="002B4CEB"/>
    <w:rsid w:val="0030238A"/>
    <w:rsid w:val="00321707"/>
    <w:rsid w:val="00343E07"/>
    <w:rsid w:val="003E4657"/>
    <w:rsid w:val="00474267"/>
    <w:rsid w:val="00493E2B"/>
    <w:rsid w:val="004941EE"/>
    <w:rsid w:val="004D7297"/>
    <w:rsid w:val="00500DED"/>
    <w:rsid w:val="0051729A"/>
    <w:rsid w:val="00523D99"/>
    <w:rsid w:val="005720F7"/>
    <w:rsid w:val="005721DD"/>
    <w:rsid w:val="005F5599"/>
    <w:rsid w:val="0065135E"/>
    <w:rsid w:val="00656580"/>
    <w:rsid w:val="00657338"/>
    <w:rsid w:val="006A1E74"/>
    <w:rsid w:val="006B6B19"/>
    <w:rsid w:val="006E46FD"/>
    <w:rsid w:val="006E78F3"/>
    <w:rsid w:val="006F2AD0"/>
    <w:rsid w:val="006F6CDF"/>
    <w:rsid w:val="0071041D"/>
    <w:rsid w:val="00712EA4"/>
    <w:rsid w:val="00727B0A"/>
    <w:rsid w:val="00746803"/>
    <w:rsid w:val="00770A00"/>
    <w:rsid w:val="007A1833"/>
    <w:rsid w:val="007B21BE"/>
    <w:rsid w:val="007D7517"/>
    <w:rsid w:val="00856304"/>
    <w:rsid w:val="00857956"/>
    <w:rsid w:val="00893190"/>
    <w:rsid w:val="0089688D"/>
    <w:rsid w:val="008D2644"/>
    <w:rsid w:val="008F2482"/>
    <w:rsid w:val="009E6505"/>
    <w:rsid w:val="00A27878"/>
    <w:rsid w:val="00A82604"/>
    <w:rsid w:val="00AB6033"/>
    <w:rsid w:val="00AD35DC"/>
    <w:rsid w:val="00AF58D1"/>
    <w:rsid w:val="00BF4E5E"/>
    <w:rsid w:val="00C00CF8"/>
    <w:rsid w:val="00C82B3C"/>
    <w:rsid w:val="00C87743"/>
    <w:rsid w:val="00CB0B57"/>
    <w:rsid w:val="00D33FF3"/>
    <w:rsid w:val="00D714FE"/>
    <w:rsid w:val="00D74290"/>
    <w:rsid w:val="00D871B1"/>
    <w:rsid w:val="00D90F1C"/>
    <w:rsid w:val="00DA3A73"/>
    <w:rsid w:val="00DC1754"/>
    <w:rsid w:val="00DC2D9C"/>
    <w:rsid w:val="00DD4B77"/>
    <w:rsid w:val="00E222CC"/>
    <w:rsid w:val="00E6042D"/>
    <w:rsid w:val="00E95A54"/>
    <w:rsid w:val="00E961E5"/>
    <w:rsid w:val="00F13310"/>
    <w:rsid w:val="00F41A28"/>
    <w:rsid w:val="00F639F1"/>
    <w:rsid w:val="00F9695D"/>
    <w:rsid w:val="00FB717A"/>
    <w:rsid w:val="00FD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3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7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7426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57338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657338"/>
    <w:pPr>
      <w:ind w:left="720"/>
    </w:pPr>
    <w:rPr>
      <w:rFonts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38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5733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742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053C5"/>
    <w:rPr>
      <w:b/>
      <w:bCs/>
    </w:rPr>
  </w:style>
  <w:style w:type="paragraph" w:styleId="NormalnyWeb">
    <w:name w:val="Normal (Web)"/>
    <w:basedOn w:val="Normalny"/>
    <w:uiPriority w:val="99"/>
    <w:unhideWhenUsed/>
    <w:rsid w:val="00F133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13310"/>
    <w:rPr>
      <w:i/>
      <w:iCs/>
    </w:rPr>
  </w:style>
  <w:style w:type="paragraph" w:customStyle="1" w:styleId="Default">
    <w:name w:val="Default"/>
    <w:rsid w:val="0050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F559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5599"/>
    <w:rPr>
      <w:rFonts w:ascii="Tahoma" w:hAnsi="Tahoma" w:cs="Tahoma"/>
      <w:sz w:val="16"/>
      <w:szCs w:val="16"/>
      <w:lang w:eastAsia="pl-PL"/>
    </w:rPr>
  </w:style>
  <w:style w:type="paragraph" w:customStyle="1" w:styleId="text-center">
    <w:name w:val="text-center"/>
    <w:basedOn w:val="Normalny"/>
    <w:rsid w:val="00343E07"/>
    <w:pPr>
      <w:spacing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43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0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3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07"/>
    <w:rPr>
      <w:rFonts w:ascii="Calibri" w:hAnsi="Calibri" w:cs="Times New Roman"/>
      <w:lang w:eastAsia="pl-PL"/>
    </w:rPr>
  </w:style>
  <w:style w:type="paragraph" w:customStyle="1" w:styleId="mb-5">
    <w:name w:val="mb-5"/>
    <w:basedOn w:val="Normalny"/>
    <w:rsid w:val="00857956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57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-0">
    <w:name w:val="m-0"/>
    <w:basedOn w:val="Normalny"/>
    <w:rsid w:val="00857956"/>
    <w:rPr>
      <w:rFonts w:ascii="Times New Roman" w:eastAsia="Times New Roman" w:hAnsi="Times New Roman"/>
      <w:sz w:val="24"/>
      <w:szCs w:val="24"/>
    </w:rPr>
  </w:style>
  <w:style w:type="paragraph" w:customStyle="1" w:styleId="text-cr-13">
    <w:name w:val="text-cr-13"/>
    <w:basedOn w:val="Normalny"/>
    <w:rsid w:val="00857956"/>
    <w:pPr>
      <w:spacing w:after="100" w:afterAutospacing="1"/>
    </w:pPr>
    <w:rPr>
      <w:rFonts w:eastAsia="Times New Roman"/>
      <w:sz w:val="24"/>
      <w:szCs w:val="24"/>
    </w:rPr>
  </w:style>
  <w:style w:type="paragraph" w:customStyle="1" w:styleId="text-cr-18">
    <w:name w:val="text-cr-18"/>
    <w:basedOn w:val="Normalny"/>
    <w:rsid w:val="00857956"/>
    <w:pPr>
      <w:spacing w:after="100" w:afterAutospacing="1"/>
    </w:pPr>
    <w:rPr>
      <w:rFonts w:eastAsia="Times New Roman"/>
      <w:sz w:val="24"/>
      <w:szCs w:val="24"/>
    </w:rPr>
  </w:style>
  <w:style w:type="paragraph" w:customStyle="1" w:styleId="text-cb-20">
    <w:name w:val="text-cb-20"/>
    <w:basedOn w:val="Normalny"/>
    <w:rsid w:val="00857956"/>
    <w:pPr>
      <w:spacing w:after="100" w:afterAutospacing="1"/>
    </w:pPr>
    <w:rPr>
      <w:rFonts w:eastAsia="Times New Roman"/>
      <w:b/>
      <w:bCs/>
      <w:sz w:val="24"/>
      <w:szCs w:val="24"/>
    </w:rPr>
  </w:style>
  <w:style w:type="paragraph" w:customStyle="1" w:styleId="text-bb-20">
    <w:name w:val="text-bb-20"/>
    <w:basedOn w:val="Normalny"/>
    <w:rsid w:val="00857956"/>
    <w:pPr>
      <w:spacing w:after="100" w:afterAutospacing="1"/>
    </w:pPr>
    <w:rPr>
      <w:rFonts w:ascii="Montserrat" w:eastAsia="Times New Roman" w:hAnsi="Montserrat"/>
      <w:b/>
      <w:bCs/>
      <w:sz w:val="24"/>
      <w:szCs w:val="24"/>
    </w:rPr>
  </w:style>
  <w:style w:type="paragraph" w:customStyle="1" w:styleId="card-title">
    <w:name w:val="card-title"/>
    <w:basedOn w:val="Normalny"/>
    <w:rsid w:val="00857956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l-3">
    <w:name w:val="ml-3"/>
    <w:basedOn w:val="Domylnaczcionkaakapitu"/>
    <w:rsid w:val="00857956"/>
  </w:style>
  <w:style w:type="paragraph" w:customStyle="1" w:styleId="text-bs-22">
    <w:name w:val="text-bs-22"/>
    <w:basedOn w:val="Normalny"/>
    <w:rsid w:val="00857956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-uppercase">
    <w:name w:val="text-uppercase"/>
    <w:basedOn w:val="Domylnaczcionkaakapitu"/>
    <w:rsid w:val="001C6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3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479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1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591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1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1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3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8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0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0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69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561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17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3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9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9607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575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14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21651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4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56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programs/program/power" TargetMode="External"/><Relationship Id="rId13" Type="http://schemas.openxmlformats.org/officeDocument/2006/relationships/hyperlink" Target="mailto:itakademia2@cts.com.pl" TargetMode="External"/><Relationship Id="rId18" Type="http://schemas.openxmlformats.org/officeDocument/2006/relationships/hyperlink" Target="mailto:zdrowie@cts.com.p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wod-kan@cts.com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gnieszka.mitka@smgkrc.com" TargetMode="External"/><Relationship Id="rId17" Type="http://schemas.openxmlformats.org/officeDocument/2006/relationships/hyperlink" Target="mailto:zdrowie_am2@kig.pl" TargetMode="External"/><Relationship Id="rId25" Type="http://schemas.openxmlformats.org/officeDocument/2006/relationships/hyperlink" Target="mailto:komunikacjamarketingowa@kdkinf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ywnosc@akademiamddp.pl" TargetMode="External"/><Relationship Id="rId20" Type="http://schemas.openxmlformats.org/officeDocument/2006/relationships/hyperlink" Target="mailto:odzysk_am2@ki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ieszka_poprawa@ocwp.org.pl" TargetMode="External"/><Relationship Id="rId24" Type="http://schemas.openxmlformats.org/officeDocument/2006/relationships/hyperlink" Target="mailto:handel_am2@ki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tor.plk@marr.pl" TargetMode="External"/><Relationship Id="rId23" Type="http://schemas.openxmlformats.org/officeDocument/2006/relationships/hyperlink" Target="mailto:handel@cts.com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tycovid-przepisnarozwoj@hrp.com.pl" TargetMode="External"/><Relationship Id="rId19" Type="http://schemas.openxmlformats.org/officeDocument/2006/relationships/hyperlink" Target="mailto:odzysk@ct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rozwojowe.parp.gov.pl/" TargetMode="External"/><Relationship Id="rId14" Type="http://schemas.openxmlformats.org/officeDocument/2006/relationships/hyperlink" Target="mailto:sektor.tic@marr.pl" TargetMode="External"/><Relationship Id="rId22" Type="http://schemas.openxmlformats.org/officeDocument/2006/relationships/hyperlink" Target="mailto:wod-kan_am2@kig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khanczarek</dc:creator>
  <cp:lastModifiedBy>mchmielinska</cp:lastModifiedBy>
  <cp:revision>4</cp:revision>
  <cp:lastPrinted>2019-08-28T08:21:00Z</cp:lastPrinted>
  <dcterms:created xsi:type="dcterms:W3CDTF">2020-11-04T12:55:00Z</dcterms:created>
  <dcterms:modified xsi:type="dcterms:W3CDTF">2020-11-05T09:07:00Z</dcterms:modified>
</cp:coreProperties>
</file>